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djustRightInd w:val="0"/>
        <w:snapToGrid w:val="0"/>
        <w:spacing w:line="360" w:lineRule="auto"/>
        <w:jc w:val="center"/>
        <w:rPr>
          <w:rFonts w:ascii="仿宋" w:hAnsi="仿宋" w:eastAsia="仿宋"/>
          <w:b/>
          <w:bCs/>
          <w:sz w:val="32"/>
          <w:szCs w:val="32"/>
        </w:rPr>
      </w:pPr>
      <w:bookmarkStart w:id="0" w:name="OLE_LINK1"/>
      <w:r>
        <w:rPr>
          <w:rFonts w:hint="eastAsia" w:ascii="仿宋" w:hAnsi="仿宋" w:eastAsia="仿宋"/>
          <w:b/>
          <w:bCs/>
          <w:sz w:val="32"/>
          <w:szCs w:val="32"/>
        </w:rPr>
        <w:t>护理教育学“课程思政”案例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75"/>
        <w:gridCol w:w="173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263"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课程名称</w:t>
            </w:r>
          </w:p>
        </w:tc>
        <w:tc>
          <w:tcPr>
            <w:tcW w:w="2275"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ascii="仿宋" w:hAnsi="仿宋" w:eastAsia="仿宋"/>
                <w:kern w:val="0"/>
                <w:sz w:val="24"/>
                <w:szCs w:val="24"/>
              </w:rPr>
            </w:pPr>
            <w:r>
              <w:rPr>
                <w:rFonts w:hint="eastAsia" w:ascii="仿宋" w:hAnsi="仿宋" w:eastAsia="仿宋"/>
                <w:kern w:val="0"/>
                <w:sz w:val="24"/>
                <w:szCs w:val="24"/>
              </w:rPr>
              <w:t>护理教育学</w:t>
            </w:r>
          </w:p>
        </w:tc>
        <w:tc>
          <w:tcPr>
            <w:tcW w:w="1733"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课程类别</w:t>
            </w:r>
          </w:p>
        </w:tc>
        <w:tc>
          <w:tcPr>
            <w:tcW w:w="2025"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ascii="仿宋" w:hAnsi="仿宋" w:eastAsia="仿宋"/>
                <w:kern w:val="0"/>
                <w:sz w:val="24"/>
                <w:szCs w:val="24"/>
              </w:rPr>
            </w:pPr>
            <w:r>
              <w:rPr>
                <w:rFonts w:hint="eastAsia" w:ascii="仿宋" w:hAnsi="仿宋" w:eastAsia="仿宋"/>
                <w:kern w:val="0"/>
                <w:sz w:val="24"/>
                <w:szCs w:val="24"/>
              </w:rPr>
              <w:t>专业必修课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263"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学时</w:t>
            </w:r>
          </w:p>
        </w:tc>
        <w:tc>
          <w:tcPr>
            <w:tcW w:w="2275"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ascii="仿宋" w:hAnsi="仿宋" w:eastAsia="仿宋"/>
                <w:kern w:val="0"/>
                <w:sz w:val="24"/>
                <w:szCs w:val="24"/>
              </w:rPr>
            </w:pPr>
            <w:r>
              <w:rPr>
                <w:rFonts w:hint="eastAsia" w:ascii="仿宋" w:hAnsi="仿宋" w:eastAsia="仿宋"/>
                <w:kern w:val="0"/>
                <w:sz w:val="24"/>
                <w:szCs w:val="24"/>
              </w:rPr>
              <w:t>理论16，实践</w:t>
            </w:r>
            <w:r>
              <w:rPr>
                <w:rFonts w:ascii="仿宋" w:hAnsi="仿宋" w:eastAsia="仿宋"/>
                <w:kern w:val="0"/>
                <w:sz w:val="24"/>
                <w:szCs w:val="24"/>
              </w:rPr>
              <w:t>2</w:t>
            </w:r>
          </w:p>
        </w:tc>
        <w:tc>
          <w:tcPr>
            <w:tcW w:w="1733"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学分</w:t>
            </w:r>
          </w:p>
        </w:tc>
        <w:tc>
          <w:tcPr>
            <w:tcW w:w="2025"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ascii="仿宋" w:hAnsi="仿宋" w:eastAsia="仿宋"/>
                <w:kern w:val="0"/>
                <w:sz w:val="24"/>
                <w:szCs w:val="24"/>
              </w:rPr>
            </w:pPr>
            <w:r>
              <w:rPr>
                <w:rFonts w:ascii="仿宋" w:hAnsi="仿宋"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263"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授课对象</w:t>
            </w:r>
          </w:p>
        </w:tc>
        <w:tc>
          <w:tcPr>
            <w:tcW w:w="2275"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ascii="仿宋" w:hAnsi="仿宋" w:eastAsia="仿宋"/>
                <w:kern w:val="0"/>
                <w:sz w:val="24"/>
                <w:szCs w:val="24"/>
              </w:rPr>
            </w:pPr>
            <w:r>
              <w:rPr>
                <w:rFonts w:hint="eastAsia" w:ascii="仿宋" w:hAnsi="仿宋" w:eastAsia="仿宋"/>
                <w:kern w:val="0"/>
                <w:sz w:val="24"/>
                <w:szCs w:val="24"/>
              </w:rPr>
              <w:t>护理本科生</w:t>
            </w:r>
          </w:p>
        </w:tc>
        <w:tc>
          <w:tcPr>
            <w:tcW w:w="1733"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授课教师</w:t>
            </w:r>
          </w:p>
        </w:tc>
        <w:tc>
          <w:tcPr>
            <w:tcW w:w="2025" w:type="dxa"/>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薛松梅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263"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案例名称</w:t>
            </w:r>
          </w:p>
        </w:tc>
        <w:tc>
          <w:tcPr>
            <w:tcW w:w="6033"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hint="default" w:ascii="仿宋" w:hAnsi="仿宋" w:eastAsia="仿宋"/>
                <w:kern w:val="0"/>
                <w:sz w:val="24"/>
                <w:szCs w:val="24"/>
                <w:lang w:val="en-US" w:eastAsia="zh-CN"/>
              </w:rPr>
            </w:pPr>
            <w:bookmarkStart w:id="3" w:name="_GoBack"/>
            <w:r>
              <w:rPr>
                <w:rFonts w:hint="eastAsia" w:ascii="仿宋" w:hAnsi="仿宋" w:eastAsia="仿宋"/>
                <w:kern w:val="0"/>
                <w:sz w:val="24"/>
                <w:szCs w:val="24"/>
                <w:lang w:val="en-US" w:eastAsia="zh-CN"/>
              </w:rPr>
              <w:t>疫情爆发期间在公众社交平台上发表辱国言论的中国药科大学公派留学生许可馨</w:t>
            </w:r>
            <w:bookmarkEnd w:id="3"/>
            <w:r>
              <w:rPr>
                <w:rFonts w:hint="eastAsia" w:ascii="仿宋" w:hAnsi="仿宋" w:eastAsia="仿宋"/>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3"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思政元素类型</w:t>
            </w:r>
          </w:p>
        </w:tc>
        <w:tc>
          <w:tcPr>
            <w:tcW w:w="6033" w:type="dxa"/>
            <w:gridSpan w:val="3"/>
            <w:tcBorders>
              <w:top w:val="single" w:color="auto" w:sz="4" w:space="0"/>
              <w:left w:val="nil"/>
              <w:bottom w:val="single" w:color="auto" w:sz="4" w:space="0"/>
              <w:right w:val="single" w:color="auto" w:sz="4" w:space="0"/>
            </w:tcBorders>
            <w:vAlign w:val="center"/>
          </w:tcPr>
          <w:p>
            <w:pP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爱国自信</w:t>
            </w:r>
            <w:r>
              <w:rPr>
                <w:rFonts w:hint="eastAsia" w:ascii="仿宋" w:hAnsi="仿宋" w:eastAsia="仿宋"/>
                <w:kern w:val="0"/>
                <w:sz w:val="24"/>
                <w:szCs w:val="24"/>
                <w:lang w:val="en-US" w:eastAsia="zh-CN"/>
              </w:rPr>
              <w:t>、责任使命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63"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案例所属教学内容</w:t>
            </w:r>
          </w:p>
        </w:tc>
        <w:tc>
          <w:tcPr>
            <w:tcW w:w="6033"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hint="default" w:ascii="仿宋" w:hAnsi="仿宋" w:eastAsia="仿宋"/>
                <w:kern w:val="0"/>
                <w:sz w:val="24"/>
                <w:szCs w:val="24"/>
                <w:lang w:val="en-US"/>
              </w:rPr>
            </w:pPr>
            <w:r>
              <w:rPr>
                <w:rFonts w:hint="eastAsia" w:ascii="仿宋" w:hAnsi="仿宋" w:eastAsia="仿宋"/>
                <w:kern w:val="0"/>
                <w:sz w:val="24"/>
                <w:szCs w:val="24"/>
              </w:rPr>
              <w:t>第</w:t>
            </w:r>
            <w:r>
              <w:rPr>
                <w:rFonts w:hint="eastAsia" w:ascii="仿宋" w:hAnsi="仿宋" w:eastAsia="仿宋"/>
                <w:kern w:val="0"/>
                <w:sz w:val="24"/>
                <w:szCs w:val="24"/>
                <w:lang w:val="en-US" w:eastAsia="zh-CN"/>
              </w:rPr>
              <w:t>一</w:t>
            </w:r>
            <w:r>
              <w:rPr>
                <w:rFonts w:hint="eastAsia" w:ascii="仿宋" w:hAnsi="仿宋" w:eastAsia="仿宋"/>
                <w:kern w:val="0"/>
                <w:sz w:val="24"/>
                <w:szCs w:val="24"/>
              </w:rPr>
              <w:t>章</w:t>
            </w:r>
            <w:r>
              <w:rPr>
                <w:rFonts w:hint="eastAsia" w:ascii="仿宋" w:hAnsi="仿宋" w:eastAsia="仿宋"/>
                <w:kern w:val="0"/>
                <w:sz w:val="24"/>
                <w:szCs w:val="24"/>
                <w:lang w:val="en-US" w:eastAsia="zh-CN"/>
              </w:rPr>
              <w:t xml:space="preserve"> 导论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63"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highlight w:val="yellow"/>
              </w:rPr>
            </w:pPr>
            <w:r>
              <w:rPr>
                <w:rFonts w:hint="eastAsia" w:ascii="仿宋" w:hAnsi="仿宋" w:eastAsia="仿宋"/>
                <w:kern w:val="0"/>
                <w:sz w:val="24"/>
                <w:szCs w:val="24"/>
              </w:rPr>
              <w:t>教学目标</w:t>
            </w:r>
          </w:p>
        </w:tc>
        <w:tc>
          <w:tcPr>
            <w:tcW w:w="6033"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hint="eastAsia" w:ascii="仿宋" w:hAnsi="仿宋" w:eastAsia="仿宋"/>
                <w:kern w:val="0"/>
                <w:sz w:val="24"/>
                <w:szCs w:val="24"/>
                <w:lang w:eastAsia="zh-CN"/>
              </w:rPr>
            </w:pPr>
            <w:r>
              <w:rPr>
                <w:rFonts w:hint="eastAsia" w:ascii="仿宋" w:hAnsi="仿宋" w:eastAsia="仿宋"/>
                <w:kern w:val="0"/>
                <w:sz w:val="24"/>
                <w:szCs w:val="24"/>
              </w:rPr>
              <w:t>知识目标 能正确</w:t>
            </w:r>
            <w:r>
              <w:rPr>
                <w:rFonts w:hint="eastAsia" w:ascii="仿宋" w:hAnsi="仿宋" w:eastAsia="仿宋"/>
                <w:kern w:val="0"/>
                <w:sz w:val="24"/>
                <w:szCs w:val="24"/>
                <w:lang w:val="en-US" w:eastAsia="zh-CN"/>
              </w:rPr>
              <w:t>概述教育的本质，正确复述护理教育的任务，正确概述我国护理教育的层次结构和形式结构</w:t>
            </w:r>
            <w:r>
              <w:rPr>
                <w:rFonts w:hint="eastAsia" w:ascii="仿宋" w:hAnsi="仿宋" w:eastAsia="仿宋"/>
                <w:kern w:val="0"/>
                <w:sz w:val="24"/>
                <w:szCs w:val="24"/>
                <w:lang w:eastAsia="zh-CN"/>
              </w:rPr>
              <w:t>；</w:t>
            </w:r>
          </w:p>
          <w:p>
            <w:pPr>
              <w:autoSpaceDE w:val="0"/>
              <w:adjustRightInd w:val="0"/>
              <w:snapToGrid w:val="0"/>
              <w:spacing w:line="360" w:lineRule="auto"/>
              <w:rPr>
                <w:rFonts w:ascii="仿宋" w:hAnsi="仿宋" w:eastAsia="仿宋"/>
                <w:kern w:val="0"/>
                <w:sz w:val="24"/>
                <w:szCs w:val="24"/>
              </w:rPr>
            </w:pPr>
            <w:r>
              <w:rPr>
                <w:rFonts w:hint="eastAsia" w:ascii="仿宋" w:hAnsi="仿宋" w:eastAsia="仿宋"/>
                <w:kern w:val="0"/>
                <w:sz w:val="24"/>
                <w:szCs w:val="24"/>
              </w:rPr>
              <w:t>能力目标 能</w:t>
            </w:r>
            <w:r>
              <w:rPr>
                <w:rFonts w:hint="eastAsia" w:ascii="仿宋" w:hAnsi="仿宋" w:eastAsia="仿宋"/>
                <w:kern w:val="0"/>
                <w:sz w:val="24"/>
                <w:szCs w:val="24"/>
                <w:lang w:val="en-US" w:eastAsia="zh-CN"/>
              </w:rPr>
              <w:t>用正确的语言解释下列概念：教育、教育学、护理教育学、生长、发育、成熟、身心发展、年龄特征、最近发展区、终身教育</w:t>
            </w:r>
            <w:r>
              <w:rPr>
                <w:rFonts w:hint="eastAsia" w:ascii="仿宋" w:hAnsi="仿宋" w:eastAsia="仿宋"/>
                <w:kern w:val="0"/>
                <w:sz w:val="24"/>
                <w:szCs w:val="24"/>
              </w:rPr>
              <w:t>；</w:t>
            </w:r>
          </w:p>
          <w:p>
            <w:pPr>
              <w:autoSpaceDE w:val="0"/>
              <w:adjustRightInd w:val="0"/>
              <w:snapToGrid w:val="0"/>
              <w:spacing w:line="360" w:lineRule="auto"/>
              <w:rPr>
                <w:rFonts w:hint="eastAsia" w:ascii="仿宋" w:hAnsi="仿宋" w:eastAsia="仿宋"/>
                <w:kern w:val="0"/>
                <w:sz w:val="24"/>
                <w:szCs w:val="24"/>
                <w:lang w:eastAsia="zh-CN"/>
              </w:rPr>
            </w:pPr>
            <w:r>
              <w:rPr>
                <w:rFonts w:hint="eastAsia" w:ascii="仿宋" w:hAnsi="仿宋" w:eastAsia="仿宋"/>
                <w:kern w:val="0"/>
                <w:sz w:val="24"/>
                <w:szCs w:val="24"/>
              </w:rPr>
              <w:t xml:space="preserve">素质目标 </w:t>
            </w:r>
            <w:r>
              <w:rPr>
                <w:rFonts w:hint="eastAsia" w:ascii="仿宋" w:hAnsi="仿宋" w:eastAsia="仿宋"/>
                <w:kern w:val="0"/>
                <w:sz w:val="24"/>
                <w:szCs w:val="24"/>
                <w:lang w:val="en-US" w:eastAsia="zh-CN"/>
              </w:rPr>
              <w:t>能运用本章知识，正确分析护理学专业学生的现有发展水平，能结合我国护理教育现状，正确评述21世纪我国护理教育发展的方向与策略</w:t>
            </w:r>
            <w:r>
              <w:rPr>
                <w:rFonts w:hint="eastAsia" w:ascii="仿宋" w:hAnsi="仿宋" w:eastAsia="仿宋"/>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263"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案例描述</w:t>
            </w:r>
          </w:p>
        </w:tc>
        <w:tc>
          <w:tcPr>
            <w:tcW w:w="6033" w:type="dxa"/>
            <w:gridSpan w:val="3"/>
            <w:tcBorders>
              <w:top w:val="single" w:color="auto" w:sz="4" w:space="0"/>
              <w:left w:val="nil"/>
              <w:bottom w:val="single" w:color="auto" w:sz="4" w:space="0"/>
              <w:right w:val="single" w:color="auto" w:sz="4" w:space="0"/>
            </w:tcBorders>
          </w:tcPr>
          <w:p>
            <w:pPr>
              <w:autoSpaceDE w:val="0"/>
              <w:adjustRightInd w:val="0"/>
              <w:snapToGrid w:val="0"/>
              <w:spacing w:line="360" w:lineRule="auto"/>
              <w:ind w:firstLine="480" w:firstLineChars="200"/>
              <w:jc w:val="left"/>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有这样一群人，他们生在中国，吃着中国的米、喝着中国的水，当他们长大了却对中国百般嫌弃，对外国或外国人则百般讨好；他们认为外国的什么东西都比中国的好，甚至认为国外的月亮都比中国的圆！--“慕洋犬”。在疫情爆发期间，在公众社交平台上发表辱国言论的中国药科大学公派留学生许可馨，她说道：“反正作为留学生我一点不想回国，什么以大局为重，老娘从来不把集体利益放在眼里，单纯就是觉得回国像犯人一样，机场滞留十几个小时，发霉的臭旅馆里喝带杂质的脏水坐牢十四天，食品安全让人心慌，我在大农村小别墅里每天一美元的肉蛋奶不断供，街上没人随便溜达，过得挺好的。”</w:t>
            </w:r>
          </w:p>
          <w:p>
            <w:pPr>
              <w:autoSpaceDE w:val="0"/>
              <w:adjustRightInd w:val="0"/>
              <w:snapToGrid w:val="0"/>
              <w:spacing w:line="360" w:lineRule="auto"/>
              <w:ind w:firstLine="480" w:firstLineChars="200"/>
              <w:jc w:val="left"/>
              <w:rPr>
                <w:rFonts w:hint="default" w:ascii="仿宋" w:hAnsi="仿宋" w:eastAsia="仿宋"/>
                <w:kern w:val="0"/>
                <w:sz w:val="24"/>
                <w:szCs w:val="24"/>
                <w:lang w:val="en-US" w:eastAsia="zh-CN"/>
              </w:rPr>
            </w:pPr>
          </w:p>
          <w:p>
            <w:pPr>
              <w:autoSpaceDE w:val="0"/>
              <w:adjustRightInd w:val="0"/>
              <w:snapToGrid w:val="0"/>
              <w:spacing w:line="360" w:lineRule="auto"/>
              <w:ind w:firstLine="480" w:firstLineChars="200"/>
              <w:jc w:val="left"/>
              <w:rPr>
                <w:rFonts w:hint="default" w:ascii="仿宋" w:hAnsi="仿宋" w:eastAsia="仿宋"/>
                <w:kern w:val="0"/>
                <w:sz w:val="24"/>
                <w:szCs w:val="24"/>
                <w:lang w:val="en-US"/>
              </w:rPr>
            </w:pPr>
            <w:r>
              <w:rPr>
                <w:rFonts w:hint="eastAsia" w:ascii="仿宋" w:hAnsi="仿宋" w:eastAsia="仿宋"/>
                <w:kern w:val="0"/>
                <w:sz w:val="24"/>
                <w:szCs w:val="24"/>
              </w:rPr>
              <w:t>通过这个案例，引发学生思考，</w:t>
            </w:r>
            <w:r>
              <w:rPr>
                <w:rFonts w:hint="eastAsia" w:ascii="仿宋" w:hAnsi="仿宋" w:eastAsia="仿宋"/>
                <w:kern w:val="0"/>
                <w:sz w:val="24"/>
                <w:szCs w:val="24"/>
                <w:lang w:val="en-US" w:eastAsia="zh-CN"/>
              </w:rPr>
              <w:t>凸显教育的重要性，“人无德不立，育人的根本在于立德”，我们的教育绝不能培养社会主义破坏者和掘墓人，绝不能培养出一些‘长着中国脸，不是中国心，没有中国情，缺少中国味’的人！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263"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案例融入方式</w:t>
            </w:r>
          </w:p>
        </w:tc>
        <w:tc>
          <w:tcPr>
            <w:tcW w:w="6033"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jc w:val="center"/>
              <w:rPr>
                <w:rFonts w:ascii="仿宋" w:hAnsi="仿宋" w:eastAsia="仿宋"/>
                <w:kern w:val="0"/>
                <w:sz w:val="24"/>
                <w:szCs w:val="24"/>
              </w:rPr>
            </w:pPr>
            <w:r>
              <w:rPr>
                <w:rFonts w:hint="eastAsia" w:ascii="仿宋" w:hAnsi="仿宋" w:eastAsia="仿宋"/>
              </w:rPr>
              <w:t>案例穿插式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263"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highlight w:val="yellow"/>
              </w:rPr>
            </w:pPr>
            <w:r>
              <w:rPr>
                <w:rFonts w:hint="eastAsia" w:ascii="仿宋" w:hAnsi="仿宋" w:eastAsia="仿宋"/>
                <w:b/>
                <w:bCs/>
                <w:kern w:val="0"/>
                <w:sz w:val="24"/>
                <w:szCs w:val="24"/>
              </w:rPr>
              <w:t>教学设计</w:t>
            </w:r>
          </w:p>
        </w:tc>
        <w:tc>
          <w:tcPr>
            <w:tcW w:w="6033" w:type="dxa"/>
            <w:gridSpan w:val="3"/>
            <w:tcBorders>
              <w:top w:val="single" w:color="auto" w:sz="4" w:space="0"/>
              <w:left w:val="nil"/>
              <w:bottom w:val="single" w:color="auto" w:sz="4" w:space="0"/>
              <w:right w:val="single" w:color="auto" w:sz="4" w:space="0"/>
            </w:tcBorders>
            <w:vAlign w:val="center"/>
          </w:tcPr>
          <w:p>
            <w:pPr>
              <w:autoSpaceDE w:val="0"/>
              <w:adjustRightInd w:val="0"/>
              <w:snapToGrid w:val="0"/>
              <w:spacing w:line="360" w:lineRule="auto"/>
              <w:rPr>
                <w:rFonts w:ascii="仿宋" w:hAnsi="仿宋" w:eastAsia="仿宋"/>
                <w:kern w:val="0"/>
                <w:sz w:val="24"/>
                <w:szCs w:val="24"/>
              </w:rPr>
            </w:pPr>
            <w:r>
              <w:rPr>
                <w:rFonts w:hint="eastAsia" w:ascii="仿宋" w:hAnsi="仿宋" w:eastAsia="仿宋"/>
                <w:kern w:val="0"/>
                <w:sz w:val="24"/>
                <w:szCs w:val="24"/>
              </w:rPr>
              <w:t>课前预习：教师提前一周在雨课堂上发布课件，并推送学习清单，明确学习任务。</w:t>
            </w:r>
          </w:p>
          <w:p>
            <w:pPr>
              <w:autoSpaceDE w:val="0"/>
              <w:adjustRightInd w:val="0"/>
              <w:snapToGrid w:val="0"/>
              <w:spacing w:line="360" w:lineRule="auto"/>
              <w:rPr>
                <w:rFonts w:ascii="仿宋" w:hAnsi="仿宋" w:eastAsia="仿宋"/>
                <w:kern w:val="0"/>
                <w:sz w:val="24"/>
                <w:szCs w:val="24"/>
              </w:rPr>
            </w:pPr>
            <w:r>
              <w:rPr>
                <w:rFonts w:hint="eastAsia" w:ascii="仿宋" w:hAnsi="仿宋" w:eastAsia="仿宋"/>
                <w:kern w:val="0"/>
                <w:sz w:val="24"/>
                <w:szCs w:val="24"/>
              </w:rPr>
              <w:t>课中学习;</w:t>
            </w:r>
          </w:p>
          <w:p>
            <w:pPr>
              <w:autoSpaceDE w:val="0"/>
              <w:adjustRightInd w:val="0"/>
              <w:snapToGrid w:val="0"/>
              <w:spacing w:line="360" w:lineRule="auto"/>
              <w:rPr>
                <w:rFonts w:ascii="仿宋" w:hAnsi="仿宋" w:eastAsia="仿宋"/>
                <w:kern w:val="0"/>
                <w:sz w:val="24"/>
                <w:szCs w:val="24"/>
              </w:rPr>
            </w:pPr>
            <w:r>
              <w:rPr>
                <w:rFonts w:hint="eastAsia" w:ascii="仿宋" w:hAnsi="仿宋" w:eastAsia="仿宋"/>
                <w:kern w:val="0"/>
                <w:sz w:val="24"/>
                <w:szCs w:val="24"/>
              </w:rPr>
              <w:t>1</w:t>
            </w:r>
            <w:r>
              <w:rPr>
                <w:rFonts w:ascii="仿宋" w:hAnsi="仿宋" w:eastAsia="仿宋"/>
                <w:kern w:val="0"/>
                <w:sz w:val="24"/>
                <w:szCs w:val="24"/>
              </w:rPr>
              <w:t>.</w:t>
            </w:r>
            <w:r>
              <w:rPr>
                <w:rFonts w:hint="eastAsia" w:ascii="仿宋" w:hAnsi="仿宋" w:eastAsia="仿宋"/>
                <w:kern w:val="0"/>
                <w:sz w:val="24"/>
                <w:szCs w:val="24"/>
              </w:rPr>
              <w:t>直奔主题，讲解案例，让学生表述自己的观点。</w:t>
            </w:r>
          </w:p>
          <w:p>
            <w:pPr>
              <w:autoSpaceDE w:val="0"/>
              <w:adjustRightInd w:val="0"/>
              <w:snapToGrid w:val="0"/>
              <w:spacing w:line="360" w:lineRule="auto"/>
              <w:rPr>
                <w:rFonts w:ascii="仿宋" w:hAnsi="仿宋" w:eastAsia="仿宋"/>
                <w:kern w:val="0"/>
                <w:sz w:val="24"/>
                <w:szCs w:val="24"/>
              </w:rPr>
            </w:pPr>
            <w:r>
              <w:rPr>
                <w:rFonts w:hint="eastAsia" w:ascii="仿宋" w:hAnsi="仿宋" w:eastAsia="仿宋"/>
                <w:kern w:val="0"/>
                <w:sz w:val="24"/>
                <w:szCs w:val="24"/>
              </w:rPr>
              <w:t>2</w:t>
            </w:r>
            <w:r>
              <w:rPr>
                <w:rFonts w:ascii="仿宋" w:hAnsi="仿宋" w:eastAsia="仿宋"/>
                <w:kern w:val="0"/>
                <w:sz w:val="24"/>
                <w:szCs w:val="24"/>
              </w:rPr>
              <w:t>.</w:t>
            </w:r>
            <w:r>
              <w:rPr>
                <w:rFonts w:hint="eastAsia" w:ascii="仿宋" w:hAnsi="仿宋" w:eastAsia="仿宋"/>
                <w:kern w:val="0"/>
                <w:sz w:val="24"/>
                <w:szCs w:val="24"/>
              </w:rPr>
              <w:t>案例讨论：让学生以小组为单位，根据案例自主讨论，</w:t>
            </w:r>
            <w:r>
              <w:rPr>
                <w:rFonts w:hint="eastAsia" w:ascii="仿宋" w:hAnsi="仿宋" w:eastAsia="仿宋"/>
                <w:kern w:val="0"/>
                <w:sz w:val="24"/>
                <w:szCs w:val="24"/>
                <w:lang w:val="en-US" w:eastAsia="zh-CN"/>
              </w:rPr>
              <w:t>如何上好一堂课以及如何评价一堂课的好坏</w:t>
            </w:r>
            <w:r>
              <w:rPr>
                <w:rFonts w:hint="eastAsia" w:ascii="仿宋" w:hAnsi="仿宋" w:eastAsia="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263"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spacing w:line="360" w:lineRule="auto"/>
              <w:rPr>
                <w:rFonts w:ascii="仿宋" w:hAnsi="仿宋" w:eastAsia="仿宋"/>
                <w:b/>
                <w:bCs/>
                <w:kern w:val="0"/>
                <w:sz w:val="24"/>
                <w:szCs w:val="24"/>
              </w:rPr>
            </w:pPr>
            <w:r>
              <w:rPr>
                <w:rFonts w:hint="eastAsia" w:ascii="仿宋" w:hAnsi="仿宋" w:eastAsia="仿宋"/>
                <w:b/>
                <w:bCs/>
                <w:kern w:val="0"/>
                <w:sz w:val="24"/>
                <w:szCs w:val="24"/>
              </w:rPr>
              <w:t>教学反思</w:t>
            </w:r>
          </w:p>
        </w:tc>
        <w:tc>
          <w:tcPr>
            <w:tcW w:w="6033" w:type="dxa"/>
            <w:gridSpan w:val="3"/>
            <w:tcBorders>
              <w:top w:val="single" w:color="auto" w:sz="4" w:space="0"/>
              <w:left w:val="nil"/>
              <w:bottom w:val="single" w:color="auto" w:sz="4" w:space="0"/>
              <w:right w:val="single" w:color="auto" w:sz="4" w:space="0"/>
            </w:tcBorders>
          </w:tcPr>
          <w:p>
            <w:pPr>
              <w:autoSpaceDE w:val="0"/>
              <w:adjustRightInd w:val="0"/>
              <w:snapToGrid w:val="0"/>
              <w:spacing w:line="360" w:lineRule="auto"/>
              <w:ind w:firstLine="480" w:firstLineChars="200"/>
              <w:rPr>
                <w:rFonts w:ascii="仿宋" w:hAnsi="仿宋" w:eastAsia="仿宋"/>
                <w:kern w:val="0"/>
                <w:sz w:val="24"/>
                <w:szCs w:val="24"/>
              </w:rPr>
            </w:pPr>
            <w:r>
              <w:rPr>
                <w:rFonts w:hint="eastAsia" w:ascii="仿宋" w:hAnsi="仿宋" w:eastAsia="仿宋"/>
                <w:kern w:val="0"/>
                <w:sz w:val="24"/>
                <w:szCs w:val="24"/>
              </w:rPr>
              <w:t>案例以案例穿插式引入，让学生以小组为单位，根据案例自主讨论</w:t>
            </w:r>
            <w:r>
              <w:rPr>
                <w:rFonts w:hint="eastAsia" w:ascii="仿宋" w:hAnsi="仿宋" w:eastAsia="仿宋"/>
                <w:kern w:val="0"/>
                <w:sz w:val="24"/>
                <w:szCs w:val="24"/>
                <w:lang w:val="en-US" w:eastAsia="zh-CN"/>
              </w:rPr>
              <w:t>如何进行评教</w:t>
            </w:r>
            <w:r>
              <w:rPr>
                <w:rFonts w:hint="eastAsia" w:ascii="仿宋" w:hAnsi="仿宋" w:eastAsia="仿宋"/>
                <w:kern w:val="0"/>
                <w:sz w:val="24"/>
                <w:szCs w:val="24"/>
              </w:rPr>
              <w:t>？通过这个案例，培养学生</w:t>
            </w:r>
            <w:r>
              <w:rPr>
                <w:rFonts w:hint="eastAsia" w:ascii="仿宋" w:hAnsi="仿宋" w:eastAsia="仿宋"/>
                <w:kern w:val="0"/>
                <w:sz w:val="24"/>
                <w:szCs w:val="24"/>
                <w:lang w:val="en-US" w:eastAsia="zh-CN"/>
              </w:rPr>
              <w:t>教师职业素养及职业归属感</w:t>
            </w:r>
            <w:r>
              <w:rPr>
                <w:rFonts w:hint="eastAsia" w:ascii="仿宋" w:hAnsi="仿宋" w:eastAsia="仿宋"/>
                <w:kern w:val="0"/>
                <w:sz w:val="24"/>
                <w:szCs w:val="24"/>
              </w:rPr>
              <w:t>。</w:t>
            </w:r>
          </w:p>
        </w:tc>
      </w:tr>
    </w:tbl>
    <w:p>
      <w:pPr>
        <w:autoSpaceDE w:val="0"/>
        <w:adjustRightInd w:val="0"/>
        <w:snapToGrid w:val="0"/>
        <w:rPr>
          <w:rFonts w:ascii="仿宋" w:hAnsi="仿宋" w:eastAsia="仿宋"/>
          <w:b/>
          <w:bCs/>
        </w:rPr>
      </w:pPr>
      <w:r>
        <w:rPr>
          <w:rFonts w:hint="eastAsia" w:ascii="仿宋" w:hAnsi="仿宋" w:eastAsia="仿宋"/>
          <w:b/>
          <w:bCs/>
        </w:rPr>
        <w:t>备注：</w:t>
      </w:r>
    </w:p>
    <w:p>
      <w:pPr>
        <w:autoSpaceDE w:val="0"/>
        <w:adjustRightInd w:val="0"/>
        <w:snapToGrid w:val="0"/>
        <w:rPr>
          <w:rFonts w:ascii="仿宋" w:hAnsi="仿宋" w:eastAsia="仿宋"/>
        </w:rPr>
      </w:pPr>
      <w:r>
        <w:rPr>
          <w:rFonts w:hint="eastAsia" w:ascii="仿宋" w:hAnsi="仿宋" w:eastAsia="仿宋" w:cs="Calibri"/>
        </w:rPr>
        <w:t xml:space="preserve">1. </w:t>
      </w:r>
      <w:r>
        <w:rPr>
          <w:rFonts w:hint="eastAsia" w:ascii="仿宋" w:hAnsi="仿宋" w:eastAsia="仿宋"/>
        </w:rPr>
        <w:t xml:space="preserve">课程类型：必修课、选修课 </w:t>
      </w:r>
    </w:p>
    <w:p>
      <w:pPr>
        <w:pStyle w:val="8"/>
        <w:autoSpaceDE w:val="0"/>
        <w:adjustRightInd w:val="0"/>
        <w:snapToGrid w:val="0"/>
        <w:ind w:firstLine="0" w:firstLineChars="0"/>
        <w:jc w:val="left"/>
        <w:rPr>
          <w:rFonts w:ascii="仿宋" w:hAnsi="仿宋" w:eastAsia="仿宋"/>
        </w:rPr>
      </w:pPr>
      <w:r>
        <w:rPr>
          <w:rFonts w:hint="eastAsia" w:ascii="仿宋" w:hAnsi="仿宋" w:eastAsia="仿宋"/>
        </w:rPr>
        <w:t>2. 思政元素类型：仁心仁术、敬畏生命、敬业奉献、严谨慎独、</w:t>
      </w:r>
      <w:bookmarkStart w:id="1" w:name="OLE_LINK2"/>
      <w:r>
        <w:rPr>
          <w:rFonts w:hint="eastAsia" w:ascii="仿宋" w:hAnsi="仿宋" w:eastAsia="仿宋"/>
        </w:rPr>
        <w:t>责任使命、</w:t>
      </w:r>
      <w:bookmarkEnd w:id="1"/>
      <w:bookmarkStart w:id="2" w:name="OLE_LINK3"/>
      <w:r>
        <w:rPr>
          <w:rFonts w:hint="eastAsia" w:ascii="仿宋" w:hAnsi="仿宋" w:eastAsia="仿宋"/>
        </w:rPr>
        <w:t>爱国自信</w:t>
      </w:r>
      <w:bookmarkEnd w:id="2"/>
      <w:r>
        <w:rPr>
          <w:rFonts w:hint="eastAsia" w:ascii="仿宋" w:hAnsi="仿宋" w:eastAsia="仿宋"/>
        </w:rPr>
        <w:t>、协作创新、工匠精神等。</w:t>
      </w:r>
    </w:p>
    <w:p>
      <w:pPr>
        <w:autoSpaceDE w:val="0"/>
        <w:adjustRightInd w:val="0"/>
        <w:snapToGrid w:val="0"/>
        <w:rPr>
          <w:rFonts w:ascii="仿宋" w:hAnsi="仿宋" w:eastAsia="仿宋"/>
        </w:rPr>
      </w:pPr>
      <w:r>
        <w:rPr>
          <w:rFonts w:hint="eastAsia" w:ascii="仿宋" w:hAnsi="仿宋" w:eastAsia="仿宋"/>
        </w:rPr>
        <w:t>3. 融入方式：画龙点睛式、案例穿插式、专题嵌入式、隐形渗透式、讨论辨析式、元素化合式、知行合一式等。</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0YjMxYTdjMDNjYzYyZTU0MjJhYzY0MjMyNjJlN2MifQ=="/>
    <w:docVar w:name="KY_MEDREF_DOCUID" w:val="{D019B8A3-B15F-4CF4-AEA7-971D3D5E45A4}"/>
    <w:docVar w:name="KY_MEDREF_VERSION" w:val="3"/>
  </w:docVars>
  <w:rsids>
    <w:rsidRoot w:val="00460DC9"/>
    <w:rsid w:val="00041E55"/>
    <w:rsid w:val="00070124"/>
    <w:rsid w:val="00152CEB"/>
    <w:rsid w:val="001710FC"/>
    <w:rsid w:val="001C1050"/>
    <w:rsid w:val="002476FE"/>
    <w:rsid w:val="002B043B"/>
    <w:rsid w:val="003321DC"/>
    <w:rsid w:val="003A082F"/>
    <w:rsid w:val="00432786"/>
    <w:rsid w:val="004348DA"/>
    <w:rsid w:val="00460DC9"/>
    <w:rsid w:val="00494EF8"/>
    <w:rsid w:val="004E0C7C"/>
    <w:rsid w:val="005351FD"/>
    <w:rsid w:val="005B479D"/>
    <w:rsid w:val="005D2EDF"/>
    <w:rsid w:val="005E6323"/>
    <w:rsid w:val="0062755E"/>
    <w:rsid w:val="006812C1"/>
    <w:rsid w:val="006A1280"/>
    <w:rsid w:val="006B6766"/>
    <w:rsid w:val="006D1FA8"/>
    <w:rsid w:val="007031E2"/>
    <w:rsid w:val="007239AB"/>
    <w:rsid w:val="007462BE"/>
    <w:rsid w:val="007C727E"/>
    <w:rsid w:val="00837C67"/>
    <w:rsid w:val="00853E31"/>
    <w:rsid w:val="008B13E4"/>
    <w:rsid w:val="00937364"/>
    <w:rsid w:val="009C60BA"/>
    <w:rsid w:val="00A173A7"/>
    <w:rsid w:val="00A24350"/>
    <w:rsid w:val="00A460A9"/>
    <w:rsid w:val="00B020B9"/>
    <w:rsid w:val="00B31EC1"/>
    <w:rsid w:val="00B34311"/>
    <w:rsid w:val="00B63688"/>
    <w:rsid w:val="00BE096A"/>
    <w:rsid w:val="00C40F23"/>
    <w:rsid w:val="00C75AA2"/>
    <w:rsid w:val="00C93341"/>
    <w:rsid w:val="00CE667F"/>
    <w:rsid w:val="00D24620"/>
    <w:rsid w:val="00D34B4A"/>
    <w:rsid w:val="00D45090"/>
    <w:rsid w:val="00D6152F"/>
    <w:rsid w:val="00DE6B1D"/>
    <w:rsid w:val="00E16DA1"/>
    <w:rsid w:val="00E4562E"/>
    <w:rsid w:val="00E55961"/>
    <w:rsid w:val="00F45C18"/>
    <w:rsid w:val="00F738A5"/>
    <w:rsid w:val="00F839FE"/>
    <w:rsid w:val="00F85D9D"/>
    <w:rsid w:val="04E43862"/>
    <w:rsid w:val="05233F2D"/>
    <w:rsid w:val="07A1571D"/>
    <w:rsid w:val="14ED33B9"/>
    <w:rsid w:val="1DBF43CC"/>
    <w:rsid w:val="1EA90A47"/>
    <w:rsid w:val="313B17EA"/>
    <w:rsid w:val="320761BF"/>
    <w:rsid w:val="344D33DC"/>
    <w:rsid w:val="429001C5"/>
    <w:rsid w:val="44801394"/>
    <w:rsid w:val="45A86500"/>
    <w:rsid w:val="488762FA"/>
    <w:rsid w:val="4B875066"/>
    <w:rsid w:val="51232806"/>
    <w:rsid w:val="53342F20"/>
    <w:rsid w:val="54C8040D"/>
    <w:rsid w:val="5AB103BB"/>
    <w:rsid w:val="5C5E17C9"/>
    <w:rsid w:val="5C9D31E2"/>
    <w:rsid w:val="5EDA66BF"/>
    <w:rsid w:val="5F5718D5"/>
    <w:rsid w:val="60013AEB"/>
    <w:rsid w:val="6545060B"/>
    <w:rsid w:val="66664EDE"/>
    <w:rsid w:val="6F9B5ADE"/>
    <w:rsid w:val="706841E5"/>
    <w:rsid w:val="74672DD5"/>
    <w:rsid w:val="7E3409A6"/>
    <w:rsid w:val="7EF53896"/>
    <w:rsid w:val="7F4635A1"/>
    <w:rsid w:val="7FBF3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2"/>
    <w:autoRedefine/>
    <w:unhideWhenUsed/>
    <w:qFormat/>
    <w:uiPriority w:val="99"/>
    <w:pPr>
      <w:tabs>
        <w:tab w:val="center" w:pos="4153"/>
        <w:tab w:val="right" w:pos="8306"/>
      </w:tabs>
      <w:snapToGrid w:val="0"/>
      <w:jc w:val="left"/>
    </w:pPr>
    <w:rPr>
      <w:sz w:val="18"/>
      <w:szCs w:val="18"/>
    </w:rPr>
  </w:style>
  <w:style w:type="paragraph" w:styleId="3">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unhideWhenUsed/>
    <w:qFormat/>
    <w:uiPriority w:val="99"/>
    <w:rPr>
      <w:color w:val="0563C1" w:themeColor="hyperlink"/>
      <w:u w:val="single"/>
      <w14:textFill>
        <w14:solidFill>
          <w14:schemeClr w14:val="hlink"/>
        </w14:solidFill>
      </w14:textFill>
    </w:rPr>
  </w:style>
  <w:style w:type="paragraph" w:customStyle="1" w:styleId="8">
    <w:name w:val="List Paragraph1"/>
    <w:basedOn w:val="1"/>
    <w:autoRedefine/>
    <w:qFormat/>
    <w:uiPriority w:val="0"/>
    <w:pPr>
      <w:ind w:firstLine="420" w:firstLineChars="200"/>
    </w:pPr>
    <w:rPr>
      <w:rFonts w:ascii="等线" w:hAnsi="等线" w:eastAsia="等线"/>
    </w:rPr>
  </w:style>
  <w:style w:type="paragraph" w:styleId="9">
    <w:name w:val="List Paragraph"/>
    <w:basedOn w:val="1"/>
    <w:autoRedefine/>
    <w:qFormat/>
    <w:uiPriority w:val="99"/>
    <w:pPr>
      <w:ind w:firstLine="420" w:firstLineChars="200"/>
    </w:pPr>
  </w:style>
  <w:style w:type="character" w:customStyle="1" w:styleId="10">
    <w:name w:val="Unresolved Mention"/>
    <w:basedOn w:val="6"/>
    <w:autoRedefine/>
    <w:semiHidden/>
    <w:unhideWhenUsed/>
    <w:qFormat/>
    <w:uiPriority w:val="99"/>
    <w:rPr>
      <w:color w:val="605E5C"/>
      <w:shd w:val="clear" w:color="auto" w:fill="E1DFDD"/>
    </w:rPr>
  </w:style>
  <w:style w:type="character" w:customStyle="1" w:styleId="11">
    <w:name w:val="页眉 字符"/>
    <w:basedOn w:val="6"/>
    <w:link w:val="3"/>
    <w:autoRedefine/>
    <w:qFormat/>
    <w:uiPriority w:val="99"/>
    <w:rPr>
      <w:rFonts w:ascii="Calibri" w:hAnsi="Calibri"/>
      <w:kern w:val="2"/>
      <w:sz w:val="18"/>
      <w:szCs w:val="18"/>
    </w:rPr>
  </w:style>
  <w:style w:type="character" w:customStyle="1" w:styleId="12">
    <w:name w:val="页脚 字符"/>
    <w:basedOn w:val="6"/>
    <w:link w:val="2"/>
    <w:autoRedefine/>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150</Words>
  <Characters>858</Characters>
  <Lines>7</Lines>
  <Paragraphs>2</Paragraphs>
  <TotalTime>13</TotalTime>
  <ScaleCrop>false</ScaleCrop>
  <LinksUpToDate>false</LinksUpToDate>
  <CharactersWithSpaces>1006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2024-01-28T09:08:00Z</dcterms:created>
  <dc:creator>pc</dc:creator>
  <cp:lastModifiedBy>LIU</cp:lastModifiedBy>
  <dcterms:modified xsi:type="dcterms:W3CDTF">2024-01-29T07:31:22Z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E25E3A51ACA8493C8BB59FEBF2736B85_13</vt:lpwstr>
  </property>
</Properties>
</file>